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38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1648"/>
        <w:gridCol w:w="658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snapToGrid w:val="0"/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四门更衣柜图示</w:t>
            </w:r>
          </w:p>
        </w:tc>
        <w:tc>
          <w:tcPr>
            <w:tcW w:w="1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snapToGrid w:val="0"/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尺寸</w:t>
            </w:r>
          </w:p>
        </w:tc>
        <w:tc>
          <w:tcPr>
            <w:tcW w:w="6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snapToGrid w:val="0"/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参数需求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snapToGrid w:val="0"/>
              <w:jc w:val="both"/>
            </w:pPr>
            <w:r>
              <w:drawing>
                <wp:inline distT="0" distB="0" distL="114300" distR="114300">
                  <wp:extent cx="3042920" cy="4106545"/>
                  <wp:effectExtent l="0" t="0" r="508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410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napToGrid w:val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</w:rPr>
              <w:t>00*4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0*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1800</w:t>
            </w:r>
          </w:p>
        </w:tc>
        <w:tc>
          <w:tcPr>
            <w:tcW w:w="6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numPr>
                <w:ilvl w:val="0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  <w:sz w:val="24"/>
              </w:rPr>
              <w:t>主体框架采用厚度≥0.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mm一级冷轧钢板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>
            <w:pPr>
              <w:pStyle w:val="5"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2.钢板应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符合GB/T 10125-2021《人造气氛腐蚀试验 盐雾试验》、QB/T 3832-1999《轻工产品金属镀层腐蚀试验结果的评价》、GB/T 1741-2020《漆膜耐霉菌性测定法》标准。</w:t>
            </w:r>
          </w:p>
          <w:p>
            <w:pPr>
              <w:pStyle w:val="5"/>
              <w:numPr>
                <w:ilvl w:val="0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检测项至少包含：防霉性能（耐霉菌性）检测合格；乙酸盐雾试验≥600h等级达到10级及以上，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投标时需提供检测报告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。</w:t>
            </w:r>
          </w:p>
          <w:p>
            <w:pPr>
              <w:pStyle w:val="5"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ascii="仿宋_GB2312" w:hAnsi="仿宋_GB2312" w:eastAsia="仿宋_GB2312" w:cs="仿宋_GB2312"/>
                <w:sz w:val="24"/>
              </w:rPr>
              <w:t>内扣拉手：配专业一体拉手锁，外观规格：120（±1）mm *70（±1）mm。外观不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可</w:t>
            </w:r>
            <w:r>
              <w:rPr>
                <w:rFonts w:ascii="仿宋_GB2312" w:hAnsi="仿宋_GB2312" w:eastAsia="仿宋_GB2312" w:cs="仿宋_GB2312"/>
                <w:sz w:val="24"/>
              </w:rPr>
              <w:t>切割、打磨、焊接、拼接。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报名时提供内扣拉手样品一个，参数如下图。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不允许3D打印。</w:t>
            </w:r>
          </w:p>
          <w:p>
            <w:pPr>
              <w:pStyle w:val="5"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4.四门可单独放置物品且可单独上锁，各门配送钥匙不少于2把。</w:t>
            </w:r>
          </w:p>
          <w:p>
            <w:pPr>
              <w:pStyle w:val="5"/>
              <w:numPr>
                <w:ilvl w:val="0"/>
                <w:numId w:val="0"/>
              </w:numPr>
              <w:snapToGrid w:val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5.四个单独内部储物空间平均分布。</w:t>
            </w:r>
          </w:p>
        </w:tc>
      </w:tr>
    </w:tbl>
    <w:p>
      <w:r>
        <w:drawing>
          <wp:inline distT="0" distB="0" distL="0" distR="0">
            <wp:extent cx="8835390" cy="5313680"/>
            <wp:effectExtent l="0" t="0" r="3810" b="1270"/>
            <wp:docPr id="73" name="Drawing 7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Drawing 73" descr="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5390" cy="53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0339"/>
    <w:rsid w:val="18F34A51"/>
    <w:rsid w:val="1DEE17DA"/>
    <w:rsid w:val="3A5E0339"/>
    <w:rsid w:val="3FFF52BE"/>
    <w:rsid w:val="6FDC5BC2"/>
    <w:rsid w:val="757E0C29"/>
    <w:rsid w:val="7BF7C3DB"/>
    <w:rsid w:val="EEFFD783"/>
    <w:rsid w:val="EFFF543C"/>
    <w:rsid w:val="F3BECE00"/>
    <w:rsid w:val="FB3F70FA"/>
    <w:rsid w:val="FFFB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348</Characters>
  <Lines>0</Lines>
  <Paragraphs>0</Paragraphs>
  <TotalTime>17</TotalTime>
  <ScaleCrop>false</ScaleCrop>
  <LinksUpToDate>false</LinksUpToDate>
  <CharactersWithSpaces>354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2026-07-13T21:01:00Z</dcterms:created>
  <dc:creator>慎思笃行</dc:creator>
  <cp:lastModifiedBy>萝卜炖猪泡泡龙</cp:lastModifiedBy>
  <dcterms:modified xsi:type="dcterms:W3CDTF">2026-07-16T10:48:52Z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37AB7961DA114A33BA8515FDFA767366_13</vt:lpwstr>
  </property>
  <property fmtid="{D5CDD505-2E9C-101B-9397-08002B2CF9AE}" pid="4" name="KSOTemplateDocerSaveRecord">
    <vt:lpwstr>eyJoZGlkIjoiMmYxMGQ4YTAzMDBlZTQ5MzNmMWIyMTYzYjJiMzBmYWYiLCJ1c2VySWQiOiIxNjY3ODI3MDk0In0=</vt:lpwstr>
  </property>
</Properties>
</file>